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6A1D13" w14:textId="2ED60888" w:rsidR="000C477C" w:rsidRPr="005D60D8" w:rsidRDefault="000C477C" w:rsidP="000C477C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bookmarkStart w:id="0" w:name="_Hlk115193383"/>
      <w:bookmarkEnd w:id="0"/>
      <w:r w:rsidRPr="005D60D8">
        <w:rPr>
          <w:b/>
          <w:noProof/>
          <w:sz w:val="24"/>
          <w:szCs w:val="24"/>
        </w:rPr>
        <w:t xml:space="preserve">3GPP TSG-RAN </w:t>
      </w:r>
      <w:r w:rsidRPr="005D60D8">
        <w:rPr>
          <w:rFonts w:hint="eastAsia"/>
          <w:b/>
          <w:noProof/>
          <w:sz w:val="24"/>
          <w:szCs w:val="24"/>
          <w:lang w:eastAsia="zh-CN"/>
        </w:rPr>
        <w:t>WG</w:t>
      </w:r>
      <w:r w:rsidRPr="005D60D8">
        <w:rPr>
          <w:b/>
          <w:noProof/>
          <w:sz w:val="24"/>
          <w:szCs w:val="24"/>
        </w:rPr>
        <w:t>2 Meeting #</w:t>
      </w:r>
      <w:r>
        <w:rPr>
          <w:b/>
          <w:noProof/>
          <w:sz w:val="24"/>
          <w:szCs w:val="24"/>
        </w:rPr>
        <w:t>120</w:t>
      </w:r>
      <w:r w:rsidRPr="005D60D8">
        <w:rPr>
          <w:b/>
          <w:i/>
          <w:noProof/>
          <w:sz w:val="24"/>
          <w:szCs w:val="24"/>
        </w:rPr>
        <w:tab/>
      </w:r>
      <w:r w:rsidR="003B17A2" w:rsidRPr="003B17A2">
        <w:rPr>
          <w:b/>
          <w:iCs/>
          <w:noProof/>
          <w:sz w:val="24"/>
          <w:szCs w:val="24"/>
          <w:shd w:val="clear" w:color="auto" w:fill="FFFF00"/>
        </w:rPr>
        <w:t>R2-2212953</w:t>
      </w:r>
    </w:p>
    <w:p w14:paraId="5F6E1D15" w14:textId="77777777" w:rsidR="005166AB" w:rsidRPr="00CE0424" w:rsidRDefault="005166AB" w:rsidP="005166AB">
      <w:pPr>
        <w:pStyle w:val="3GPPHeader"/>
      </w:pPr>
      <w:r w:rsidRPr="0024547B">
        <w:t>Toulouse, France,</w:t>
      </w:r>
      <w:r>
        <w:t xml:space="preserve"> </w:t>
      </w:r>
      <w:r w:rsidRPr="00D9310F">
        <w:t>202</w:t>
      </w:r>
      <w:r>
        <w:t>2</w:t>
      </w:r>
      <w:r w:rsidRPr="00D9310F">
        <w:t>-</w:t>
      </w:r>
      <w:r>
        <w:t>11</w:t>
      </w:r>
      <w:r w:rsidRPr="00D9310F">
        <w:t>-</w:t>
      </w:r>
      <w:r>
        <w:t>14 – 2022-11-18</w:t>
      </w:r>
    </w:p>
    <w:p w14:paraId="252563D4" w14:textId="77777777" w:rsidR="00E90E49" w:rsidRPr="00CE0424" w:rsidRDefault="00E90E49" w:rsidP="00357380">
      <w:pPr>
        <w:pStyle w:val="3GPPHeader"/>
      </w:pPr>
    </w:p>
    <w:p w14:paraId="267378A2" w14:textId="4E0FEA48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9D0502">
        <w:rPr>
          <w:sz w:val="22"/>
          <w:szCs w:val="22"/>
        </w:rPr>
        <w:t>7.2.3</w:t>
      </w:r>
    </w:p>
    <w:p w14:paraId="36E7B6AB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2579376" w14:textId="7790E0F5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0C477C">
        <w:rPr>
          <w:sz w:val="22"/>
          <w:szCs w:val="22"/>
        </w:rPr>
        <w:t>Neighbour cell information in IoT NTN</w:t>
      </w:r>
    </w:p>
    <w:p w14:paraId="24C111CD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8664FA">
        <w:rPr>
          <w:sz w:val="22"/>
          <w:szCs w:val="22"/>
        </w:rPr>
        <w:t>Discussion, Decision</w:t>
      </w:r>
    </w:p>
    <w:p w14:paraId="028056FC" w14:textId="5D890370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1095B22E" w14:textId="728760EA" w:rsidR="00477768" w:rsidRPr="000D1102" w:rsidRDefault="00702CB0" w:rsidP="00920934">
      <w:r w:rsidRPr="000D1102">
        <w:t xml:space="preserve">In this paper, we provide some considerations regarding the </w:t>
      </w:r>
      <w:r w:rsidR="006F019D">
        <w:t xml:space="preserve">introduction of </w:t>
      </w:r>
      <w:r w:rsidR="005D47E1" w:rsidRPr="000D1102">
        <w:t>neighbour</w:t>
      </w:r>
      <w:r w:rsidRPr="000D1102">
        <w:t xml:space="preserve"> cell ephemeris </w:t>
      </w:r>
      <w:r w:rsidR="006F019D">
        <w:t xml:space="preserve">information in IoT NTN </w:t>
      </w:r>
      <w:r w:rsidRPr="000D1102">
        <w:t>for measurement</w:t>
      </w:r>
      <w:r w:rsidR="005D47E1">
        <w:t xml:space="preserve"> and </w:t>
      </w:r>
      <w:r w:rsidRPr="000D1102">
        <w:t>mobility purposes.</w:t>
      </w:r>
    </w:p>
    <w:p w14:paraId="59E13DC4" w14:textId="0165A91D" w:rsidR="004000E8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352A56F0" w14:textId="49C95C3B" w:rsidR="005D47E1" w:rsidRDefault="005D47E1" w:rsidP="00920934">
      <w:r>
        <w:t>In RAN2#119-e</w:t>
      </w:r>
      <w:r w:rsidR="00920934">
        <w:t xml:space="preserve"> and RAN2#119bis-e</w:t>
      </w:r>
      <w:r>
        <w:t>, the topic of broadcasting neighbour cell ephemeris in System Information was brought up again during offline discussion</w:t>
      </w:r>
      <w:r w:rsidR="00FC0A30">
        <w:t>s</w:t>
      </w:r>
      <w:r>
        <w:t xml:space="preserve"> [</w:t>
      </w:r>
      <w:r w:rsidR="00406531">
        <w:t>1</w:t>
      </w:r>
      <w:r>
        <w:t>]</w:t>
      </w:r>
      <w:r w:rsidR="00920934">
        <w:t xml:space="preserve"> and [2], respectively</w:t>
      </w:r>
      <w:r>
        <w:t xml:space="preserve">. </w:t>
      </w:r>
      <w:r w:rsidR="0098780D">
        <w:t xml:space="preserve">The same </w:t>
      </w:r>
      <w:r w:rsidR="006F019D">
        <w:t>Neighbour</w:t>
      </w:r>
      <w:r>
        <w:t xml:space="preserve"> cell ephemeris information </w:t>
      </w:r>
      <w:r w:rsidR="006F019D">
        <w:t xml:space="preserve">and common TA parameters were </w:t>
      </w:r>
      <w:r>
        <w:t xml:space="preserve">introduced in NR NTN </w:t>
      </w:r>
      <w:r w:rsidRPr="005D47E1">
        <w:t>for measurement and mobility purposes</w:t>
      </w:r>
      <w:r>
        <w:t xml:space="preserve">. </w:t>
      </w:r>
      <w:r w:rsidR="006F019D">
        <w:t xml:space="preserve">This assistance information helps to determine the timing and frequency of </w:t>
      </w:r>
      <w:r w:rsidR="005166AB">
        <w:t>a</w:t>
      </w:r>
      <w:r w:rsidR="006F019D">
        <w:t xml:space="preserve"> neighbour cell and perform measurements in a more efficient manner. For instance, this can be relevant for idle mode mobility</w:t>
      </w:r>
      <w:r w:rsidR="006861A9">
        <w:t xml:space="preserve"> in all IoT NTN UEs</w:t>
      </w:r>
      <w:r w:rsidR="006F019D">
        <w:t xml:space="preserve"> </w:t>
      </w:r>
      <w:r w:rsidR="00FB5B4A">
        <w:t xml:space="preserve">or connected mode measurements </w:t>
      </w:r>
      <w:r w:rsidR="00C1074F">
        <w:t xml:space="preserve">(e.g., to perform </w:t>
      </w:r>
      <w:r w:rsidR="00FB5B4A">
        <w:t>handover</w:t>
      </w:r>
      <w:r w:rsidR="00C1074F">
        <w:t>)</w:t>
      </w:r>
      <w:r w:rsidR="00FB5B4A">
        <w:t xml:space="preserve"> for eMTC UEs.</w:t>
      </w:r>
    </w:p>
    <w:p w14:paraId="0833F826" w14:textId="77777777" w:rsidR="00812013" w:rsidRDefault="00812013" w:rsidP="005D47E1">
      <w:pPr>
        <w:pStyle w:val="BodyText"/>
        <w:tabs>
          <w:tab w:val="left" w:pos="1025"/>
        </w:tabs>
        <w:rPr>
          <w:rFonts w:ascii="Times New Roman" w:hAnsi="Times New Roman"/>
        </w:rPr>
      </w:pPr>
    </w:p>
    <w:p w14:paraId="342322B5" w14:textId="28676B15" w:rsidR="006F019D" w:rsidRDefault="006F019D" w:rsidP="006F019D">
      <w:pPr>
        <w:pStyle w:val="Observation"/>
      </w:pPr>
      <w:bookmarkStart w:id="2" w:name="_Toc118445791"/>
      <w:r>
        <w:t>Neighbour cell information helps to perform measurements more efficiently.</w:t>
      </w:r>
      <w:bookmarkEnd w:id="2"/>
    </w:p>
    <w:p w14:paraId="0ECA025F" w14:textId="2726F8BB" w:rsidR="006F019D" w:rsidRDefault="006F019D" w:rsidP="005D47E1">
      <w:pPr>
        <w:pStyle w:val="BodyText"/>
        <w:tabs>
          <w:tab w:val="left" w:pos="1025"/>
        </w:tabs>
        <w:rPr>
          <w:rFonts w:ascii="Times New Roman" w:hAnsi="Times New Roman"/>
        </w:rPr>
      </w:pPr>
    </w:p>
    <w:p w14:paraId="7C8ED593" w14:textId="008898FF" w:rsidR="00745F4A" w:rsidRDefault="009A4683" w:rsidP="00920934">
      <w:r>
        <w:t xml:space="preserve">In this regard, </w:t>
      </w:r>
      <w:r w:rsidR="005031E3">
        <w:t>RAN2</w:t>
      </w:r>
      <w:r w:rsidR="00745F4A">
        <w:t xml:space="preserve"> has received an LS from RAN4 [</w:t>
      </w:r>
      <w:r w:rsidR="00E216AE">
        <w:t>3</w:t>
      </w:r>
      <w:r w:rsidR="00745F4A">
        <w:t>]</w:t>
      </w:r>
      <w:r w:rsidR="0020443A">
        <w:t xml:space="preserve"> with the following content:</w:t>
      </w:r>
    </w:p>
    <w:p w14:paraId="440181B6" w14:textId="5E355C34" w:rsidR="0020443A" w:rsidRDefault="002C40BF" w:rsidP="002C40BF">
      <w:pPr>
        <w:jc w:val="center"/>
      </w:pPr>
      <w:r>
        <w:t>----</w:t>
      </w:r>
    </w:p>
    <w:p w14:paraId="7BA9D225" w14:textId="77777777" w:rsidR="0020443A" w:rsidRPr="0020443A" w:rsidRDefault="0020443A" w:rsidP="0020443A">
      <w:pPr>
        <w:overflowPunct/>
        <w:autoSpaceDE/>
        <w:autoSpaceDN/>
        <w:adjustRightInd/>
        <w:spacing w:before="120" w:after="120"/>
        <w:jc w:val="left"/>
        <w:textAlignment w:val="auto"/>
        <w:rPr>
          <w:rFonts w:eastAsiaTheme="minorEastAsia" w:cs="Arial"/>
          <w:lang w:eastAsia="zh-CN"/>
        </w:rPr>
      </w:pPr>
      <w:r w:rsidRPr="0020443A">
        <w:rPr>
          <w:rFonts w:eastAsiaTheme="minorEastAsia" w:cs="Arial"/>
          <w:lang w:eastAsia="zh-CN"/>
        </w:rPr>
        <w:t xml:space="preserve">In </w:t>
      </w:r>
      <w:r w:rsidRPr="0020443A">
        <w:rPr>
          <w:rFonts w:eastAsiaTheme="minorEastAsia" w:cs="Arial"/>
          <w:bCs/>
          <w:lang w:eastAsia="en-US"/>
        </w:rPr>
        <w:t>LTE_NBIOT_eMTC_NTN_req</w:t>
      </w:r>
      <w:r w:rsidRPr="0020443A">
        <w:rPr>
          <w:rFonts w:eastAsiaTheme="minorEastAsia" w:cs="Arial"/>
          <w:lang w:eastAsia="zh-CN"/>
        </w:rPr>
        <w:t xml:space="preserve"> WI, RAN4 is specifying RRM requirements for NB-IoT and eMTC operation over NTN functionality defined in the Rel-17 LTE_NBIOT_eMTC_NTN work item.</w:t>
      </w:r>
    </w:p>
    <w:p w14:paraId="3CEFC96E" w14:textId="77777777" w:rsidR="0020443A" w:rsidRPr="0020443A" w:rsidRDefault="0020443A" w:rsidP="0020443A">
      <w:pPr>
        <w:overflowPunct/>
        <w:autoSpaceDE/>
        <w:autoSpaceDN/>
        <w:adjustRightInd/>
        <w:spacing w:before="120" w:after="120"/>
        <w:jc w:val="left"/>
        <w:textAlignment w:val="auto"/>
        <w:rPr>
          <w:rFonts w:eastAsiaTheme="minorEastAsia" w:cs="Arial"/>
          <w:lang w:eastAsia="zh-CN"/>
        </w:rPr>
      </w:pPr>
      <w:r w:rsidRPr="0020443A">
        <w:rPr>
          <w:rFonts w:eastAsiaTheme="minorEastAsia" w:cs="Arial"/>
          <w:lang w:eastAsia="zh-CN"/>
        </w:rPr>
        <w:t>In RAN4#104-e, the following agreement [1] is reached on information for neighbor/target cell in IoT NTN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0443A" w:rsidRPr="0020443A" w14:paraId="1F2D3EC6" w14:textId="77777777" w:rsidTr="00AF54B5">
        <w:tc>
          <w:tcPr>
            <w:tcW w:w="9855" w:type="dxa"/>
          </w:tcPr>
          <w:p w14:paraId="560F61B1" w14:textId="77777777" w:rsidR="0020443A" w:rsidRPr="0020443A" w:rsidRDefault="0020443A" w:rsidP="0020443A">
            <w:pPr>
              <w:keepNext/>
              <w:keepLines/>
              <w:overflowPunct/>
              <w:autoSpaceDE/>
              <w:autoSpaceDN/>
              <w:adjustRightInd/>
              <w:spacing w:before="120" w:after="0" w:line="259" w:lineRule="auto"/>
              <w:jc w:val="left"/>
              <w:textAlignment w:val="auto"/>
              <w:outlineLvl w:val="3"/>
              <w:rPr>
                <w:i/>
                <w:sz w:val="24"/>
                <w:szCs w:val="18"/>
                <w:lang w:eastAsia="zh-CN"/>
              </w:rPr>
            </w:pPr>
            <w:r w:rsidRPr="0020443A">
              <w:rPr>
                <w:i/>
                <w:sz w:val="24"/>
                <w:szCs w:val="18"/>
                <w:lang w:eastAsia="zh-CN"/>
              </w:rPr>
              <w:t>Issue 1-3-2: information for the neighbor/target cell</w:t>
            </w:r>
          </w:p>
          <w:p w14:paraId="2723B040" w14:textId="77777777" w:rsidR="0020443A" w:rsidRPr="0020443A" w:rsidRDefault="0020443A" w:rsidP="0020443A">
            <w:pPr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ascii="Times New Roman" w:hAnsi="Times New Roman"/>
                <w:i/>
                <w:iCs/>
                <w:color w:val="4472C4"/>
                <w:lang w:val="en-US" w:eastAsia="zh-TW"/>
              </w:rPr>
            </w:pPr>
            <w:r w:rsidRPr="0020443A">
              <w:rPr>
                <w:rFonts w:ascii="Times New Roman" w:hAnsi="Times New Roman"/>
                <w:i/>
                <w:color w:val="4472C4"/>
                <w:szCs w:val="24"/>
                <w:lang w:eastAsia="zh-TW"/>
              </w:rPr>
              <w:t>Similar as NR NTN, the mobility and measurement requirements for IoT NTN apply provided that valid information for the neighbour/target cell is made available to the UE.</w:t>
            </w:r>
          </w:p>
        </w:tc>
      </w:tr>
    </w:tbl>
    <w:p w14:paraId="25CDFC43" w14:textId="77777777" w:rsidR="0020443A" w:rsidRPr="0020443A" w:rsidRDefault="0020443A" w:rsidP="0020443A">
      <w:pPr>
        <w:overflowPunct/>
        <w:autoSpaceDE/>
        <w:autoSpaceDN/>
        <w:adjustRightInd/>
        <w:spacing w:after="0"/>
        <w:jc w:val="left"/>
        <w:textAlignment w:val="auto"/>
        <w:rPr>
          <w:rFonts w:cs="Arial"/>
          <w:b/>
          <w:bCs/>
          <w:color w:val="000000"/>
          <w:lang w:eastAsia="en-US"/>
        </w:rPr>
      </w:pPr>
    </w:p>
    <w:p w14:paraId="6A535102" w14:textId="77777777" w:rsidR="0020443A" w:rsidRPr="0020443A" w:rsidRDefault="0020443A" w:rsidP="0020443A">
      <w:pPr>
        <w:overflowPunct/>
        <w:autoSpaceDE/>
        <w:autoSpaceDN/>
        <w:adjustRightInd/>
        <w:spacing w:before="120" w:after="120"/>
        <w:textAlignment w:val="auto"/>
        <w:rPr>
          <w:rFonts w:eastAsiaTheme="minorEastAsia" w:cs="Arial"/>
          <w:lang w:eastAsia="zh-CN"/>
        </w:rPr>
      </w:pPr>
      <w:r w:rsidRPr="0020443A">
        <w:rPr>
          <w:rFonts w:eastAsiaTheme="minorEastAsia" w:cs="Arial"/>
          <w:lang w:eastAsia="en-US"/>
        </w:rPr>
        <w:t>RAN4 respectfully asks RAN2 to take the above agreement into consideration in their work.</w:t>
      </w:r>
    </w:p>
    <w:p w14:paraId="4113E50D" w14:textId="3F0C414C" w:rsidR="0020443A" w:rsidRDefault="002C40BF" w:rsidP="002C40BF">
      <w:pPr>
        <w:jc w:val="center"/>
      </w:pPr>
      <w:r>
        <w:t>----</w:t>
      </w:r>
    </w:p>
    <w:p w14:paraId="12D4BF7C" w14:textId="426E3B5E" w:rsidR="00304B24" w:rsidRDefault="009A4683" w:rsidP="00920934">
      <w:r>
        <w:t>During the online discussion, as captured in the chair notes [</w:t>
      </w:r>
      <w:r w:rsidR="00E216AE">
        <w:t>4</w:t>
      </w:r>
      <w:r>
        <w:t xml:space="preserve">], it was stated that RAN4 </w:t>
      </w:r>
      <w:r w:rsidR="00520BA4">
        <w:t>may have</w:t>
      </w:r>
      <w:r>
        <w:t xml:space="preserve"> indicated that this information </w:t>
      </w:r>
      <w:r w:rsidR="00520BA4">
        <w:t>is</w:t>
      </w:r>
      <w:r>
        <w:t xml:space="preserve"> essential for IoT NTN. However, the agreement </w:t>
      </w:r>
      <w:r w:rsidR="00520BA4">
        <w:t xml:space="preserve">above </w:t>
      </w:r>
      <w:r w:rsidR="00AF0627">
        <w:t xml:space="preserve">does not have such connotations. It </w:t>
      </w:r>
      <w:r w:rsidR="00520BA4">
        <w:t>merely</w:t>
      </w:r>
      <w:r w:rsidR="00A95803">
        <w:t xml:space="preserve"> states that certain </w:t>
      </w:r>
      <w:r w:rsidR="00AF0627">
        <w:t>requirements</w:t>
      </w:r>
      <w:r w:rsidR="00A95803">
        <w:t xml:space="preserve"> </w:t>
      </w:r>
      <w:r w:rsidR="00520BA4">
        <w:t xml:space="preserve">(mobility and measurements) </w:t>
      </w:r>
      <w:r w:rsidR="00A95803">
        <w:t xml:space="preserve">are applicable if neighbour cell information is available to the UE. Hence, </w:t>
      </w:r>
      <w:r w:rsidR="00036B80">
        <w:t>this should not be taken as an</w:t>
      </w:r>
      <w:r w:rsidR="00520BA4">
        <w:t xml:space="preserve"> imperative</w:t>
      </w:r>
      <w:r w:rsidR="00036B80">
        <w:t xml:space="preserve"> indication from RAN4</w:t>
      </w:r>
      <w:r w:rsidR="00687057">
        <w:t xml:space="preserve"> that neighbour cell information needs to be adopted</w:t>
      </w:r>
      <w:r w:rsidR="00E4598E">
        <w:t>. In fact, the feasibility</w:t>
      </w:r>
      <w:r w:rsidR="00687057">
        <w:t xml:space="preserve"> </w:t>
      </w:r>
      <w:r w:rsidR="00E4598E">
        <w:t>of introducing this new feature should be evaluated</w:t>
      </w:r>
      <w:r w:rsidR="00687057">
        <w:t xml:space="preserve"> </w:t>
      </w:r>
      <w:r w:rsidR="00E4598E">
        <w:t>from a</w:t>
      </w:r>
      <w:r w:rsidR="00687057">
        <w:t xml:space="preserve"> RAN2 </w:t>
      </w:r>
      <w:r w:rsidR="00304B24">
        <w:t xml:space="preserve">technical </w:t>
      </w:r>
      <w:r w:rsidR="00687057">
        <w:t>standpoint.</w:t>
      </w:r>
    </w:p>
    <w:p w14:paraId="78AE06BA" w14:textId="77777777" w:rsidR="00304B24" w:rsidRDefault="00304B24" w:rsidP="00920934"/>
    <w:p w14:paraId="74215206" w14:textId="275BB009" w:rsidR="00304B24" w:rsidRDefault="00304B24" w:rsidP="00304B24">
      <w:pPr>
        <w:pStyle w:val="Observation"/>
      </w:pPr>
      <w:bookmarkStart w:id="3" w:name="_Toc118445792"/>
      <w:r>
        <w:lastRenderedPageBreak/>
        <w:t>Introducing neighbour cell information in IoT NTN needs to be evaluated from a RAN2 technical standpoint.</w:t>
      </w:r>
      <w:bookmarkEnd w:id="3"/>
    </w:p>
    <w:p w14:paraId="3FE06EA9" w14:textId="77777777" w:rsidR="00304B24" w:rsidRDefault="00304B24" w:rsidP="00304B24">
      <w:pPr>
        <w:pStyle w:val="Observation"/>
        <w:numPr>
          <w:ilvl w:val="0"/>
          <w:numId w:val="0"/>
        </w:numPr>
        <w:ind w:left="1701" w:hanging="1701"/>
      </w:pPr>
    </w:p>
    <w:p w14:paraId="0EA26C45" w14:textId="5B7D657C" w:rsidR="006F019D" w:rsidRDefault="00E216AE" w:rsidP="006F019D">
      <w:r>
        <w:t>T</w:t>
      </w:r>
      <w:r w:rsidR="006F019D">
        <w:t>his is not a new topic and was already discussed during RAN2#115-e</w:t>
      </w:r>
      <w:r w:rsidR="00E174A6">
        <w:t xml:space="preserve"> [</w:t>
      </w:r>
      <w:r>
        <w:t>5</w:t>
      </w:r>
      <w:r w:rsidR="00E174A6">
        <w:t>]</w:t>
      </w:r>
      <w:r w:rsidR="006F019D">
        <w:t xml:space="preserve">. </w:t>
      </w:r>
      <w:r w:rsidR="00F2408A">
        <w:t>At</w:t>
      </w:r>
      <w:r w:rsidR="001073EC">
        <w:t xml:space="preserve"> that time</w:t>
      </w:r>
      <w:r w:rsidR="00F2408A">
        <w:t xml:space="preserve">, the majority considered </w:t>
      </w:r>
      <w:r w:rsidR="00C212A4">
        <w:t>that providing this</w:t>
      </w:r>
      <w:r w:rsidR="00F2408A">
        <w:t xml:space="preserve"> information </w:t>
      </w:r>
      <w:r w:rsidR="00C212A4">
        <w:t xml:space="preserve">in System Information would be </w:t>
      </w:r>
      <w:r w:rsidR="00F2408A">
        <w:t xml:space="preserve">an optimization, </w:t>
      </w:r>
      <w:r w:rsidR="00E174A6">
        <w:t>i.e.,</w:t>
      </w:r>
      <w:r w:rsidR="00F2408A">
        <w:t xml:space="preserve"> not critical for </w:t>
      </w:r>
      <w:r w:rsidR="00E174A6">
        <w:t>operation</w:t>
      </w:r>
      <w:r w:rsidR="00C212A4">
        <w:t xml:space="preserve">. In addition, </w:t>
      </w:r>
      <w:r w:rsidR="00F2408A">
        <w:t>there was a</w:t>
      </w:r>
      <w:r w:rsidR="00E174A6">
        <w:t xml:space="preserve"> considerable </w:t>
      </w:r>
      <w:r w:rsidR="00F2408A">
        <w:t xml:space="preserve">support to postpone </w:t>
      </w:r>
      <w:r w:rsidR="006F019D">
        <w:t xml:space="preserve">this optimization to Release 18. </w:t>
      </w:r>
      <w:r w:rsidR="00E174A6">
        <w:t>Hence, t</w:t>
      </w:r>
      <w:r w:rsidR="006F019D">
        <w:t>he following agreement was made:</w:t>
      </w:r>
    </w:p>
    <w:p w14:paraId="08204FC3" w14:textId="77777777" w:rsidR="006F019D" w:rsidRDefault="006F019D" w:rsidP="006F019D">
      <w:pPr>
        <w:pStyle w:val="Agreement"/>
      </w:pPr>
      <w:r>
        <w:t>FFS if Satellite assistance information for neighbour cell(s) is provided to UE for cell selection/reselection (</w:t>
      </w:r>
      <w:r w:rsidRPr="00E174A6">
        <w:rPr>
          <w:highlight w:val="yellow"/>
        </w:rPr>
        <w:t>justification would be needed</w:t>
      </w:r>
      <w:r>
        <w:t>).</w:t>
      </w:r>
    </w:p>
    <w:p w14:paraId="57CF25D3" w14:textId="77777777" w:rsidR="008F286B" w:rsidRDefault="008F286B" w:rsidP="00702CB0"/>
    <w:p w14:paraId="45E8359C" w14:textId="583DD988" w:rsidR="00702CB0" w:rsidRDefault="00DA4166" w:rsidP="00702CB0">
      <w:r>
        <w:t>Finally,</w:t>
      </w:r>
      <w:r w:rsidR="00B547C9">
        <w:t xml:space="preserve"> the size of SIB in eMTC and NB-IoT is quite limited compared to NR. [</w:t>
      </w:r>
      <w:r w:rsidR="005B0310">
        <w:t>6</w:t>
      </w:r>
      <w:r w:rsidR="00B547C9">
        <w:t>] provides a</w:t>
      </w:r>
      <w:r w:rsidR="00F41276">
        <w:t xml:space="preserve"> detailed</w:t>
      </w:r>
      <w:r w:rsidR="00B547C9">
        <w:t xml:space="preserve"> calculation for both </w:t>
      </w:r>
      <w:r w:rsidR="00F41276">
        <w:t>technologies</w:t>
      </w:r>
      <w:r w:rsidR="00B547C9">
        <w:t xml:space="preserve"> </w:t>
      </w:r>
      <w:r w:rsidR="00DF0FE4">
        <w:t xml:space="preserve">and concluded that </w:t>
      </w:r>
      <w:r w:rsidR="00702CB0">
        <w:t xml:space="preserve">the maximum number of neighbour satellites for which assistance information can be provided is 2 for eMTC and 1 for NB-IoT. </w:t>
      </w:r>
      <w:r w:rsidR="00890100">
        <w:t xml:space="preserve">Therefore, </w:t>
      </w:r>
      <w:r w:rsidR="00DF0FE4">
        <w:t xml:space="preserve">even if </w:t>
      </w:r>
      <w:r w:rsidR="00AB7791">
        <w:t>RAN2 agree</w:t>
      </w:r>
      <w:r w:rsidR="00F41276">
        <w:t>d</w:t>
      </w:r>
      <w:r w:rsidR="00AB7791">
        <w:t xml:space="preserve"> to provide this</w:t>
      </w:r>
      <w:r w:rsidR="00DF0FE4">
        <w:t xml:space="preserve"> information is provided in SIB31, </w:t>
      </w:r>
      <w:r w:rsidR="00890100">
        <w:t>the</w:t>
      </w:r>
      <w:r w:rsidR="00DF0FE4">
        <w:t xml:space="preserve"> benefit </w:t>
      </w:r>
      <w:r w:rsidR="00F41276">
        <w:t>would be</w:t>
      </w:r>
      <w:r w:rsidR="00DF0FE4">
        <w:t xml:space="preserve"> limited</w:t>
      </w:r>
      <w:r w:rsidR="00890100">
        <w:t>.</w:t>
      </w:r>
    </w:p>
    <w:p w14:paraId="25AA9A51" w14:textId="77777777" w:rsidR="00890100" w:rsidRDefault="00890100" w:rsidP="00702CB0"/>
    <w:p w14:paraId="10D7464D" w14:textId="1BD1E92F" w:rsidR="00702CB0" w:rsidRDefault="00702CB0" w:rsidP="00890100">
      <w:pPr>
        <w:pStyle w:val="Observation"/>
      </w:pPr>
      <w:bookmarkStart w:id="4" w:name="_Toc118445793"/>
      <w:r>
        <w:t>The maximum number of satellites for which assistance information can be provided in one SI is 3 for eMTC and 2 for NB-IoT, including serving cell satellite.</w:t>
      </w:r>
      <w:bookmarkEnd w:id="4"/>
    </w:p>
    <w:p w14:paraId="732C30A3" w14:textId="09F3773D" w:rsidR="00702CB0" w:rsidRDefault="00702CB0" w:rsidP="00702CB0"/>
    <w:p w14:paraId="7D1FE1C0" w14:textId="54B3187B" w:rsidR="00890100" w:rsidRDefault="00890100" w:rsidP="00702CB0">
      <w:r>
        <w:t xml:space="preserve">Considering the arguments stated above, </w:t>
      </w:r>
      <w:r w:rsidR="00E83845">
        <w:t xml:space="preserve">there is not a strong </w:t>
      </w:r>
      <w:r>
        <w:t xml:space="preserve">technical reason to introduce </w:t>
      </w:r>
      <w:r w:rsidR="00B61222">
        <w:t>this new</w:t>
      </w:r>
      <w:r>
        <w:t xml:space="preserve"> feature in Release 17</w:t>
      </w:r>
      <w:r w:rsidR="00FC123F">
        <w:t xml:space="preserve"> during maintenance phase</w:t>
      </w:r>
      <w:r w:rsidR="00335AD1">
        <w:t xml:space="preserve">. The discussion should continue </w:t>
      </w:r>
      <w:r w:rsidR="00DA4166">
        <w:t>during Release 18</w:t>
      </w:r>
      <w:r w:rsidR="00335AD1">
        <w:t xml:space="preserve"> to </w:t>
      </w:r>
      <w:r w:rsidR="003C7A4F">
        <w:t>agree on an acceptable format and associated UE capabilities</w:t>
      </w:r>
      <w:r w:rsidR="00DA4166">
        <w:t>.</w:t>
      </w:r>
    </w:p>
    <w:p w14:paraId="10982C57" w14:textId="77777777" w:rsidR="00890100" w:rsidRDefault="00890100" w:rsidP="00702CB0"/>
    <w:p w14:paraId="611F598C" w14:textId="446D22AD" w:rsidR="00702CB0" w:rsidRDefault="00702CB0" w:rsidP="00702CB0">
      <w:pPr>
        <w:pStyle w:val="Proposal"/>
        <w:tabs>
          <w:tab w:val="clear" w:pos="1304"/>
        </w:tabs>
        <w:ind w:left="1701" w:hanging="1701"/>
      </w:pPr>
      <w:bookmarkStart w:id="5" w:name="_Toc118445796"/>
      <w:r>
        <w:t xml:space="preserve">Neighbour cell ephemeris </w:t>
      </w:r>
      <w:r w:rsidR="000D1102">
        <w:t xml:space="preserve">information </w:t>
      </w:r>
      <w:r>
        <w:t xml:space="preserve">is not </w:t>
      </w:r>
      <w:r w:rsidR="001C308A">
        <w:t>broadcast</w:t>
      </w:r>
      <w:r>
        <w:t xml:space="preserve"> in Rel-17</w:t>
      </w:r>
      <w:r w:rsidR="000D1102">
        <w:t xml:space="preserve"> IoT NTN</w:t>
      </w:r>
      <w:r>
        <w:t>.</w:t>
      </w:r>
      <w:bookmarkEnd w:id="5"/>
    </w:p>
    <w:p w14:paraId="1C5571F9" w14:textId="196EE24B" w:rsidR="00DA4166" w:rsidRDefault="00DA4166">
      <w:pPr>
        <w:overflowPunct/>
        <w:autoSpaceDE/>
        <w:autoSpaceDN/>
        <w:adjustRightInd/>
        <w:spacing w:after="0"/>
        <w:textAlignment w:val="auto"/>
        <w:rPr>
          <w:b/>
          <w:bCs/>
          <w:lang w:eastAsia="zh-CN"/>
        </w:rPr>
      </w:pPr>
    </w:p>
    <w:p w14:paraId="20D74898" w14:textId="1255EFE2" w:rsidR="00C01F33" w:rsidRPr="00CE0424" w:rsidRDefault="00DA4166" w:rsidP="00CE0424">
      <w:pPr>
        <w:pStyle w:val="Heading1"/>
      </w:pPr>
      <w:r>
        <w:t>3</w:t>
      </w:r>
      <w:r>
        <w:tab/>
      </w:r>
      <w:r w:rsidR="00C01F33" w:rsidRPr="00CE0424">
        <w:t>Conclusion</w:t>
      </w:r>
    </w:p>
    <w:p w14:paraId="7E08B161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70FC0ACD" w14:textId="472D2ABB" w:rsidR="005166AB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18445791" w:history="1">
        <w:r w:rsidR="005166AB" w:rsidRPr="00101200">
          <w:rPr>
            <w:rStyle w:val="Hyperlink"/>
            <w:noProof/>
          </w:rPr>
          <w:t>Observation 1</w:t>
        </w:r>
        <w:r w:rsidR="005166A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5166AB" w:rsidRPr="00101200">
          <w:rPr>
            <w:rStyle w:val="Hyperlink"/>
            <w:noProof/>
          </w:rPr>
          <w:t>Neighbour cell information helps to perform measurements more efficiently.</w:t>
        </w:r>
      </w:hyperlink>
    </w:p>
    <w:p w14:paraId="103745A0" w14:textId="18175751" w:rsidR="005166AB" w:rsidRDefault="003B17A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18445792" w:history="1">
        <w:r w:rsidR="005166AB" w:rsidRPr="00101200">
          <w:rPr>
            <w:rStyle w:val="Hyperlink"/>
            <w:noProof/>
          </w:rPr>
          <w:t>Observation 2</w:t>
        </w:r>
        <w:r w:rsidR="005166A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5166AB" w:rsidRPr="00101200">
          <w:rPr>
            <w:rStyle w:val="Hyperlink"/>
            <w:noProof/>
          </w:rPr>
          <w:t>Introducing neighbour cell information in IoT NTN needs to be evaluated from a RAN2 technical standpoint.</w:t>
        </w:r>
      </w:hyperlink>
    </w:p>
    <w:p w14:paraId="3376B503" w14:textId="30960774" w:rsidR="005166AB" w:rsidRDefault="003B17A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18445793" w:history="1">
        <w:r w:rsidR="005166AB" w:rsidRPr="00101200">
          <w:rPr>
            <w:rStyle w:val="Hyperlink"/>
            <w:noProof/>
          </w:rPr>
          <w:t>Observation 3</w:t>
        </w:r>
        <w:r w:rsidR="005166A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5166AB" w:rsidRPr="00101200">
          <w:rPr>
            <w:rStyle w:val="Hyperlink"/>
            <w:noProof/>
          </w:rPr>
          <w:t>The maximum number of satellites for which assistance information can be provided in one SI is 3 for eMTC and 2 for NB-IoT, including serving cell satellite.</w:t>
        </w:r>
      </w:hyperlink>
    </w:p>
    <w:p w14:paraId="7570C759" w14:textId="6C0AFC2B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029CA090" w14:textId="77777777" w:rsidR="006E1C82" w:rsidRDefault="006E1C82" w:rsidP="008E065E">
      <w:pPr>
        <w:pStyle w:val="BodyText"/>
        <w:rPr>
          <w:b/>
          <w:bCs/>
        </w:rPr>
      </w:pPr>
    </w:p>
    <w:p w14:paraId="4DC87846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21B967D9" w14:textId="7EA5DC58" w:rsidR="00805148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18445796" w:history="1">
        <w:r w:rsidR="00805148" w:rsidRPr="00232D2B">
          <w:rPr>
            <w:rStyle w:val="Hyperlink"/>
            <w:noProof/>
          </w:rPr>
          <w:t>Proposal 1</w:t>
        </w:r>
        <w:r w:rsidR="0080514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805148" w:rsidRPr="00232D2B">
          <w:rPr>
            <w:rStyle w:val="Hyperlink"/>
            <w:noProof/>
          </w:rPr>
          <w:t>Neighbour cell ephemeris information is not broadcast in Rel-17 IoT NTN.</w:t>
        </w:r>
      </w:hyperlink>
    </w:p>
    <w:p w14:paraId="0307436E" w14:textId="60D1B165" w:rsidR="00CF396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</w:p>
    <w:p w14:paraId="3A2DCCF5" w14:textId="77777777" w:rsidR="00CF3964" w:rsidRDefault="00CF3964">
      <w:pPr>
        <w:overflowPunct/>
        <w:autoSpaceDE/>
        <w:autoSpaceDN/>
        <w:adjustRightInd/>
        <w:spacing w:after="0"/>
        <w:jc w:val="left"/>
        <w:textAlignment w:val="auto"/>
        <w:rPr>
          <w:b/>
          <w:bCs/>
          <w:lang w:eastAsia="zh-CN"/>
        </w:rPr>
      </w:pPr>
      <w:r>
        <w:rPr>
          <w:b/>
          <w:bCs/>
        </w:rPr>
        <w:br w:type="page"/>
      </w:r>
    </w:p>
    <w:p w14:paraId="7BD5CFC3" w14:textId="77777777" w:rsidR="00F507D1" w:rsidRPr="00CE0424" w:rsidRDefault="00F507D1" w:rsidP="00CE0424">
      <w:pPr>
        <w:pStyle w:val="Heading1"/>
      </w:pPr>
      <w:bookmarkStart w:id="6" w:name="_In-sequence_SDU_delivery"/>
      <w:bookmarkEnd w:id="6"/>
      <w:r w:rsidRPr="00CE0424">
        <w:lastRenderedPageBreak/>
        <w:t>References</w:t>
      </w:r>
    </w:p>
    <w:p w14:paraId="4193CA81" w14:textId="73D52B5D" w:rsidR="005F3025" w:rsidRDefault="00406531" w:rsidP="00311702">
      <w:pPr>
        <w:pStyle w:val="Reference"/>
      </w:pPr>
      <w:bookmarkStart w:id="7" w:name="_Ref174151459"/>
      <w:bookmarkStart w:id="8" w:name="_Ref189809556"/>
      <w:r w:rsidRPr="00406531">
        <w:t>R2-2208755</w:t>
      </w:r>
      <w:r>
        <w:t xml:space="preserve">, </w:t>
      </w:r>
      <w:r w:rsidRPr="00406531">
        <w:t>Report of [AT119-e][105][IoT-NTN] RRC corrections (Huawei)</w:t>
      </w:r>
      <w:r>
        <w:t xml:space="preserve">, </w:t>
      </w:r>
      <w:r w:rsidRPr="00406531">
        <w:t>Huawei, HiSilicon</w:t>
      </w:r>
      <w:r>
        <w:t>, RAN2·119-e, August 2022.</w:t>
      </w:r>
    </w:p>
    <w:p w14:paraId="5B622803" w14:textId="7DEFC3CA" w:rsidR="00FC0A30" w:rsidRDefault="00B903A3" w:rsidP="00311702">
      <w:pPr>
        <w:pStyle w:val="Reference"/>
      </w:pPr>
      <w:r w:rsidRPr="00B903A3">
        <w:t>Report of [Offline-107][IoT NTN] RRC corrections</w:t>
      </w:r>
      <w:r>
        <w:t>, Huawei, RAN2#119bis-e, October 2022.</w:t>
      </w:r>
    </w:p>
    <w:p w14:paraId="320BA346" w14:textId="77777777" w:rsidR="00E216AE" w:rsidRDefault="00E216AE" w:rsidP="00E216AE">
      <w:pPr>
        <w:pStyle w:val="Reference"/>
      </w:pPr>
      <w:r w:rsidRPr="004B7DDB">
        <w:t>R2-2211171</w:t>
      </w:r>
      <w:r>
        <w:t xml:space="preserve">, </w:t>
      </w:r>
      <w:r w:rsidRPr="005307E2">
        <w:t>LS on information for neighbor/target cell in IoT NTN</w:t>
      </w:r>
      <w:r>
        <w:t>, RAN4#104bis-e, October 2022.</w:t>
      </w:r>
    </w:p>
    <w:p w14:paraId="2483C820" w14:textId="25C7F737" w:rsidR="00F81656" w:rsidRDefault="00F81656" w:rsidP="00311702">
      <w:pPr>
        <w:pStyle w:val="Reference"/>
      </w:pPr>
      <w:r w:rsidRPr="00F81656">
        <w:t>R2-2208701</w:t>
      </w:r>
      <w:r>
        <w:t xml:space="preserve">, </w:t>
      </w:r>
      <w:r w:rsidR="00DE1151" w:rsidRPr="00DE1151">
        <w:t>Report from Break-out session on NR-NTN, IoT-NTN, REDCAP and CE</w:t>
      </w:r>
      <w:r w:rsidR="00DE1151">
        <w:t xml:space="preserve">, </w:t>
      </w:r>
      <w:r w:rsidR="00882E41" w:rsidRPr="00882E41">
        <w:t>Vice Chairman (ZTE Corporation</w:t>
      </w:r>
      <w:r w:rsidR="00882E41">
        <w:t>), RAN2#119-e, October 2022.</w:t>
      </w:r>
    </w:p>
    <w:p w14:paraId="53ED731D" w14:textId="36D06D1F" w:rsidR="00406531" w:rsidRPr="00406531" w:rsidRDefault="00406531" w:rsidP="00311702">
      <w:pPr>
        <w:pStyle w:val="Reference"/>
      </w:pPr>
      <w:r w:rsidRPr="00406531">
        <w:t>R2-2109176</w:t>
      </w:r>
      <w:r>
        <w:t xml:space="preserve">, </w:t>
      </w:r>
      <w:r w:rsidRPr="00406531">
        <w:t>Summary of AI 9.2.4.1 “TA and Mobility related” (Ericsson) - Ph2</w:t>
      </w:r>
      <w:r>
        <w:t>, Ericsson, RAN2</w:t>
      </w:r>
      <w:r>
        <w:rPr>
          <w:lang w:val="en-US"/>
        </w:rPr>
        <w:t>#115-e, August 2021.</w:t>
      </w:r>
    </w:p>
    <w:p w14:paraId="542E84A5" w14:textId="3DBD972A" w:rsidR="00406531" w:rsidRPr="00CE0424" w:rsidRDefault="00406531" w:rsidP="00311702">
      <w:pPr>
        <w:pStyle w:val="Reference"/>
      </w:pPr>
      <w:r w:rsidRPr="00406531">
        <w:t>R2-2207150</w:t>
      </w:r>
      <w:r>
        <w:t xml:space="preserve">, </w:t>
      </w:r>
      <w:r w:rsidRPr="00406531">
        <w:t>Discussion on neighbour cell ephemeris</w:t>
      </w:r>
      <w:r>
        <w:t xml:space="preserve">, </w:t>
      </w:r>
      <w:r w:rsidRPr="00406531">
        <w:t>Huawei, HiSilicon</w:t>
      </w:r>
      <w:r>
        <w:t>, RAN2#119-e, August 2022.</w:t>
      </w:r>
    </w:p>
    <w:bookmarkEnd w:id="7"/>
    <w:bookmarkEnd w:id="8"/>
    <w:p w14:paraId="5DCC939F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ADC7D2" w14:textId="77777777" w:rsidR="003F5A0F" w:rsidRDefault="003F5A0F">
      <w:r>
        <w:separator/>
      </w:r>
    </w:p>
  </w:endnote>
  <w:endnote w:type="continuationSeparator" w:id="0">
    <w:p w14:paraId="66332085" w14:textId="77777777" w:rsidR="003F5A0F" w:rsidRDefault="003F5A0F">
      <w:r>
        <w:continuationSeparator/>
      </w:r>
    </w:p>
  </w:endnote>
  <w:endnote w:type="continuationNotice" w:id="1">
    <w:p w14:paraId="30CE7F67" w14:textId="77777777" w:rsidR="003F5A0F" w:rsidRDefault="003F5A0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3D4435" w14:textId="77777777" w:rsidR="003F5A0F" w:rsidRDefault="003F5A0F">
      <w:r>
        <w:separator/>
      </w:r>
    </w:p>
  </w:footnote>
  <w:footnote w:type="continuationSeparator" w:id="0">
    <w:p w14:paraId="256297AF" w14:textId="77777777" w:rsidR="003F5A0F" w:rsidRDefault="003F5A0F">
      <w:r>
        <w:continuationSeparator/>
      </w:r>
    </w:p>
  </w:footnote>
  <w:footnote w:type="continuationNotice" w:id="1">
    <w:p w14:paraId="0CEE04C5" w14:textId="77777777" w:rsidR="003F5A0F" w:rsidRDefault="003F5A0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C70D95"/>
    <w:multiLevelType w:val="hybridMultilevel"/>
    <w:tmpl w:val="224C02F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4C65BC1"/>
    <w:multiLevelType w:val="hybridMultilevel"/>
    <w:tmpl w:val="7E1C5EE2"/>
    <w:lvl w:ilvl="0" w:tplc="A0ECEFFE">
      <w:start w:val="1"/>
      <w:numFmt w:val="decimal"/>
      <w:lvlText w:val="%1."/>
      <w:lvlJc w:val="left"/>
      <w:pPr>
        <w:ind w:left="1619" w:hanging="360"/>
      </w:pPr>
      <w:rPr>
        <w:rFonts w:ascii="Arial" w:eastAsia="MS Mincho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11"/>
  </w:num>
  <w:num w:numId="4">
    <w:abstractNumId w:val="12"/>
  </w:num>
  <w:num w:numId="5">
    <w:abstractNumId w:val="8"/>
  </w:num>
  <w:num w:numId="6">
    <w:abstractNumId w:val="14"/>
  </w:num>
  <w:num w:numId="7">
    <w:abstractNumId w:val="19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3"/>
  </w:num>
  <w:num w:numId="16">
    <w:abstractNumId w:val="20"/>
  </w:num>
  <w:num w:numId="17">
    <w:abstractNumId w:val="5"/>
  </w:num>
  <w:num w:numId="18">
    <w:abstractNumId w:val="6"/>
  </w:num>
  <w:num w:numId="19">
    <w:abstractNumId w:val="4"/>
  </w:num>
  <w:num w:numId="20">
    <w:abstractNumId w:val="24"/>
  </w:num>
  <w:num w:numId="21">
    <w:abstractNumId w:val="10"/>
  </w:num>
  <w:num w:numId="22">
    <w:abstractNumId w:val="22"/>
  </w:num>
  <w:num w:numId="23">
    <w:abstractNumId w:val="11"/>
  </w:num>
  <w:num w:numId="24">
    <w:abstractNumId w:val="23"/>
  </w:num>
  <w:num w:numId="25">
    <w:abstractNumId w:val="21"/>
  </w:num>
  <w:num w:numId="26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80"/>
    <w:rsid w:val="00036BA1"/>
    <w:rsid w:val="000422E2"/>
    <w:rsid w:val="00042F22"/>
    <w:rsid w:val="000444EF"/>
    <w:rsid w:val="00051626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0FF7"/>
    <w:rsid w:val="000C165A"/>
    <w:rsid w:val="000C2E19"/>
    <w:rsid w:val="000C477C"/>
    <w:rsid w:val="000D0D07"/>
    <w:rsid w:val="000D1102"/>
    <w:rsid w:val="000D4797"/>
    <w:rsid w:val="000D7F84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073EC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08A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443A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341B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0BF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4B24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5AD1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959"/>
    <w:rsid w:val="003A5B0A"/>
    <w:rsid w:val="003A6BAC"/>
    <w:rsid w:val="003A70A4"/>
    <w:rsid w:val="003A7EF3"/>
    <w:rsid w:val="003B159C"/>
    <w:rsid w:val="003B17A2"/>
    <w:rsid w:val="003B369F"/>
    <w:rsid w:val="003B36A3"/>
    <w:rsid w:val="003B64BB"/>
    <w:rsid w:val="003B7FE5"/>
    <w:rsid w:val="003C11C8"/>
    <w:rsid w:val="003C2702"/>
    <w:rsid w:val="003C7806"/>
    <w:rsid w:val="003C7A4F"/>
    <w:rsid w:val="003D109F"/>
    <w:rsid w:val="003D2478"/>
    <w:rsid w:val="003D3C45"/>
    <w:rsid w:val="003D4A97"/>
    <w:rsid w:val="003D5B1F"/>
    <w:rsid w:val="003E15FA"/>
    <w:rsid w:val="003E29C9"/>
    <w:rsid w:val="003E55E4"/>
    <w:rsid w:val="003E74E3"/>
    <w:rsid w:val="003F05C7"/>
    <w:rsid w:val="003F2CD4"/>
    <w:rsid w:val="003F5A0F"/>
    <w:rsid w:val="003F6BBE"/>
    <w:rsid w:val="004000E8"/>
    <w:rsid w:val="00402E2B"/>
    <w:rsid w:val="0040512B"/>
    <w:rsid w:val="00405CA5"/>
    <w:rsid w:val="0040617D"/>
    <w:rsid w:val="00406531"/>
    <w:rsid w:val="00407CD3"/>
    <w:rsid w:val="00410134"/>
    <w:rsid w:val="00410B72"/>
    <w:rsid w:val="00410F18"/>
    <w:rsid w:val="00410F51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B7DDB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31E3"/>
    <w:rsid w:val="00506557"/>
    <w:rsid w:val="0050677A"/>
    <w:rsid w:val="005108D8"/>
    <w:rsid w:val="005116F9"/>
    <w:rsid w:val="005153A7"/>
    <w:rsid w:val="005166AB"/>
    <w:rsid w:val="00520BA4"/>
    <w:rsid w:val="005219CF"/>
    <w:rsid w:val="005251F8"/>
    <w:rsid w:val="005307E2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0310"/>
    <w:rsid w:val="005B1409"/>
    <w:rsid w:val="005B35D7"/>
    <w:rsid w:val="005B392A"/>
    <w:rsid w:val="005B3AA3"/>
    <w:rsid w:val="005B6F83"/>
    <w:rsid w:val="005C74FB"/>
    <w:rsid w:val="005D1602"/>
    <w:rsid w:val="005D47E1"/>
    <w:rsid w:val="005D60D8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0D9"/>
    <w:rsid w:val="00683ECE"/>
    <w:rsid w:val="006861A9"/>
    <w:rsid w:val="00687057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65C1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019D"/>
    <w:rsid w:val="006F1B70"/>
    <w:rsid w:val="006F341D"/>
    <w:rsid w:val="006F3CDE"/>
    <w:rsid w:val="006F58D4"/>
    <w:rsid w:val="006F6582"/>
    <w:rsid w:val="00702CB0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5F4A"/>
    <w:rsid w:val="00747D8B"/>
    <w:rsid w:val="00751228"/>
    <w:rsid w:val="007571E1"/>
    <w:rsid w:val="00757A16"/>
    <w:rsid w:val="007604B2"/>
    <w:rsid w:val="00765281"/>
    <w:rsid w:val="00766BAD"/>
    <w:rsid w:val="007729A2"/>
    <w:rsid w:val="007755F2"/>
    <w:rsid w:val="00775D6F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5148"/>
    <w:rsid w:val="0080605F"/>
    <w:rsid w:val="00807786"/>
    <w:rsid w:val="00811FCB"/>
    <w:rsid w:val="00812013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64FA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2E41"/>
    <w:rsid w:val="00890100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0CF0"/>
    <w:rsid w:val="008C2017"/>
    <w:rsid w:val="008C4958"/>
    <w:rsid w:val="008C4BAA"/>
    <w:rsid w:val="008C6AE8"/>
    <w:rsid w:val="008C7573"/>
    <w:rsid w:val="008D00A5"/>
    <w:rsid w:val="008D280B"/>
    <w:rsid w:val="008D34F1"/>
    <w:rsid w:val="008D39D8"/>
    <w:rsid w:val="008D6D1A"/>
    <w:rsid w:val="008E065E"/>
    <w:rsid w:val="008E0927"/>
    <w:rsid w:val="008E1909"/>
    <w:rsid w:val="008F1EAB"/>
    <w:rsid w:val="008F286B"/>
    <w:rsid w:val="008F33DC"/>
    <w:rsid w:val="008F477F"/>
    <w:rsid w:val="00902350"/>
    <w:rsid w:val="0090336B"/>
    <w:rsid w:val="009053AA"/>
    <w:rsid w:val="00906309"/>
    <w:rsid w:val="00906939"/>
    <w:rsid w:val="00910B7D"/>
    <w:rsid w:val="00911DFB"/>
    <w:rsid w:val="009139D9"/>
    <w:rsid w:val="00914AD8"/>
    <w:rsid w:val="00916079"/>
    <w:rsid w:val="00917CE9"/>
    <w:rsid w:val="00917D6C"/>
    <w:rsid w:val="00920934"/>
    <w:rsid w:val="00920BF2"/>
    <w:rsid w:val="00922010"/>
    <w:rsid w:val="00931BD9"/>
    <w:rsid w:val="009368F3"/>
    <w:rsid w:val="00937B32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014A"/>
    <w:rsid w:val="00971F08"/>
    <w:rsid w:val="0097603D"/>
    <w:rsid w:val="00976949"/>
    <w:rsid w:val="00980477"/>
    <w:rsid w:val="00985253"/>
    <w:rsid w:val="009853B3"/>
    <w:rsid w:val="0098780D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4683"/>
    <w:rsid w:val="009A5CBA"/>
    <w:rsid w:val="009B1F30"/>
    <w:rsid w:val="009B3AC2"/>
    <w:rsid w:val="009B4DF4"/>
    <w:rsid w:val="009B564E"/>
    <w:rsid w:val="009B7E87"/>
    <w:rsid w:val="009C0169"/>
    <w:rsid w:val="009C403E"/>
    <w:rsid w:val="009C590A"/>
    <w:rsid w:val="009D0502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1B5C"/>
    <w:rsid w:val="00A3448A"/>
    <w:rsid w:val="00A36297"/>
    <w:rsid w:val="00A41E2B"/>
    <w:rsid w:val="00A45B74"/>
    <w:rsid w:val="00A52E1D"/>
    <w:rsid w:val="00A55872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95803"/>
    <w:rsid w:val="00AA016F"/>
    <w:rsid w:val="00AA1ED6"/>
    <w:rsid w:val="00AA51D6"/>
    <w:rsid w:val="00AB0BC8"/>
    <w:rsid w:val="00AB11CA"/>
    <w:rsid w:val="00AB14D9"/>
    <w:rsid w:val="00AB4AB8"/>
    <w:rsid w:val="00AB655E"/>
    <w:rsid w:val="00AB7791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062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7C9"/>
    <w:rsid w:val="00B548B7"/>
    <w:rsid w:val="00B61222"/>
    <w:rsid w:val="00B664C7"/>
    <w:rsid w:val="00B739F6"/>
    <w:rsid w:val="00B81A6C"/>
    <w:rsid w:val="00B85DE5"/>
    <w:rsid w:val="00B903A3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074F"/>
    <w:rsid w:val="00C12107"/>
    <w:rsid w:val="00C14D4B"/>
    <w:rsid w:val="00C154BB"/>
    <w:rsid w:val="00C212A4"/>
    <w:rsid w:val="00C268E6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96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67137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4166"/>
    <w:rsid w:val="00DA5417"/>
    <w:rsid w:val="00DA56E8"/>
    <w:rsid w:val="00DB0A9F"/>
    <w:rsid w:val="00DB377D"/>
    <w:rsid w:val="00DC2D36"/>
    <w:rsid w:val="00DC53EF"/>
    <w:rsid w:val="00DE1151"/>
    <w:rsid w:val="00DE5608"/>
    <w:rsid w:val="00DE58D0"/>
    <w:rsid w:val="00DE654F"/>
    <w:rsid w:val="00DE6E77"/>
    <w:rsid w:val="00DF0B6E"/>
    <w:rsid w:val="00DF0FE4"/>
    <w:rsid w:val="00DF15E0"/>
    <w:rsid w:val="00DF37A0"/>
    <w:rsid w:val="00DF66E1"/>
    <w:rsid w:val="00E110E7"/>
    <w:rsid w:val="00E11B20"/>
    <w:rsid w:val="00E174A6"/>
    <w:rsid w:val="00E17FA2"/>
    <w:rsid w:val="00E206A3"/>
    <w:rsid w:val="00E216AE"/>
    <w:rsid w:val="00E22330"/>
    <w:rsid w:val="00E30B34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598E"/>
    <w:rsid w:val="00E46886"/>
    <w:rsid w:val="00E47AEF"/>
    <w:rsid w:val="00E53B75"/>
    <w:rsid w:val="00E54E3B"/>
    <w:rsid w:val="00E57565"/>
    <w:rsid w:val="00E60805"/>
    <w:rsid w:val="00E63838"/>
    <w:rsid w:val="00E64434"/>
    <w:rsid w:val="00E67C51"/>
    <w:rsid w:val="00E72EFC"/>
    <w:rsid w:val="00E758EC"/>
    <w:rsid w:val="00E8234C"/>
    <w:rsid w:val="00E83845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08A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D1EE2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0F5C"/>
    <w:rsid w:val="00F2376F"/>
    <w:rsid w:val="00F2408A"/>
    <w:rsid w:val="00F243D8"/>
    <w:rsid w:val="00F30828"/>
    <w:rsid w:val="00F313D6"/>
    <w:rsid w:val="00F40F0C"/>
    <w:rsid w:val="00F41276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656"/>
    <w:rsid w:val="00F817CE"/>
    <w:rsid w:val="00F8456C"/>
    <w:rsid w:val="00F859D8"/>
    <w:rsid w:val="00F868F5"/>
    <w:rsid w:val="00F9056A"/>
    <w:rsid w:val="00F90F8D"/>
    <w:rsid w:val="00F9170D"/>
    <w:rsid w:val="00F92782"/>
    <w:rsid w:val="00F93AA9"/>
    <w:rsid w:val="00F96985"/>
    <w:rsid w:val="00F97838"/>
    <w:rsid w:val="00FA2BB3"/>
    <w:rsid w:val="00FB4C80"/>
    <w:rsid w:val="00FB5B4A"/>
    <w:rsid w:val="00FB6A6A"/>
    <w:rsid w:val="00FC0A30"/>
    <w:rsid w:val="00FC123F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  <w:rsid w:val="0826A50B"/>
    <w:rsid w:val="37C6E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4997992"/>
  <w15:chartTrackingRefBased/>
  <w15:docId w15:val="{A1480A77-53E3-4126-A7AC-1698C6DAC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0934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Arial" w:hAnsi="Arial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  <w:rPr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Doc-text2"/>
    <w:uiPriority w:val="99"/>
    <w:qFormat/>
    <w:rsid w:val="006830D9"/>
    <w:pPr>
      <w:numPr>
        <w:numId w:val="24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  <w:lang w:eastAsia="en-GB"/>
    </w:rPr>
  </w:style>
  <w:style w:type="table" w:customStyle="1" w:styleId="TableGrid1">
    <w:name w:val="Table Grid1"/>
    <w:basedOn w:val="TableNormal"/>
    <w:next w:val="TableGrid"/>
    <w:qFormat/>
    <w:rsid w:val="0020443A"/>
    <w:rPr>
      <w:rFonts w:ascii="Times New Roman" w:eastAsiaTheme="minorEastAsia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SharedWithUsers xmlns="9b239327-9e80-40e4-b1b7-4394fed77a33">
      <UserInfo>
        <DisplayName>Ming Li L</DisplayName>
        <AccountId>1073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F3FEFA6-8C58-4A3B-A0E9-74DFF0CC49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  <ds:schemaRef ds:uri="9b239327-9e80-40e4-b1b7-4394fed77a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Template.dotx</Template>
  <TotalTime>48</TotalTime>
  <Pages>3</Pages>
  <Words>796</Words>
  <Characters>4542</Characters>
  <Application>Microsoft Office Word</Application>
  <DocSecurity>0</DocSecurity>
  <Lines>37</Lines>
  <Paragraphs>10</Paragraphs>
  <ScaleCrop>false</ScaleCrop>
  <Company>Ericsson</Company>
  <LinksUpToDate>false</LinksUpToDate>
  <CharactersWithSpaces>5328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Rapporteur</cp:lastModifiedBy>
  <cp:revision>81</cp:revision>
  <cp:lastPrinted>2008-01-31T07:09:00Z</cp:lastPrinted>
  <dcterms:created xsi:type="dcterms:W3CDTF">2022-06-23T13:54:00Z</dcterms:created>
  <dcterms:modified xsi:type="dcterms:W3CDTF">2022-11-04T09:06:00Z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